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810100" w:rsidRDefault="00810100" w:rsidP="008101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810100" w:rsidRDefault="00810100" w:rsidP="008101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810100" w:rsidRDefault="00810100" w:rsidP="008101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10100" w:rsidRDefault="00810100" w:rsidP="008101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858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 народной художественной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5839" w:rsidRDefault="00485839" w:rsidP="004858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профессиональная теоретическая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общая методическая подготовка студентов к пе</w:t>
      </w:r>
      <w:r>
        <w:rPr>
          <w:rFonts w:ascii="Times New Roman" w:eastAsia="Calibri" w:hAnsi="Times New Roman" w:cs="Times New Roman"/>
          <w:sz w:val="24"/>
          <w:szCs w:val="24"/>
        </w:rPr>
        <w:t>дагогическому руководству народ</w:t>
      </w:r>
      <w:r w:rsidRPr="009E7767">
        <w:rPr>
          <w:rFonts w:ascii="Times New Roman" w:eastAsia="Calibri" w:hAnsi="Times New Roman" w:cs="Times New Roman"/>
          <w:sz w:val="24"/>
          <w:szCs w:val="24"/>
        </w:rPr>
        <w:t>ным художественным творчеством в современных условиях.</w:t>
      </w:r>
    </w:p>
    <w:p w:rsidR="00485839" w:rsidRDefault="00485839" w:rsidP="004858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изучение теоретических основ педагогики народного художественного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освоение научно-методических основ народного художественного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овладение методами и инструмент</w:t>
      </w:r>
      <w:r>
        <w:rPr>
          <w:rFonts w:ascii="Times New Roman" w:eastAsia="Calibri" w:hAnsi="Times New Roman" w:cs="Times New Roman"/>
          <w:sz w:val="24"/>
          <w:szCs w:val="24"/>
        </w:rPr>
        <w:t>ами изучениями участников и про</w:t>
      </w:r>
      <w:r w:rsidRPr="009E7767">
        <w:rPr>
          <w:rFonts w:ascii="Times New Roman" w:eastAsia="Calibri" w:hAnsi="Times New Roman" w:cs="Times New Roman"/>
          <w:sz w:val="24"/>
          <w:szCs w:val="24"/>
        </w:rPr>
        <w:t>цесса народного художественного 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формирование умений и навыков управления коллективом народного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художественного 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 xml:space="preserve">развитие умений и навыков </w:t>
      </w:r>
      <w:r>
        <w:rPr>
          <w:rFonts w:ascii="Times New Roman" w:eastAsia="Calibri" w:hAnsi="Times New Roman" w:cs="Times New Roman"/>
          <w:sz w:val="24"/>
          <w:szCs w:val="24"/>
        </w:rPr>
        <w:t>педагогической</w:t>
      </w:r>
      <w:r w:rsidRPr="009E7767">
        <w:rPr>
          <w:rFonts w:ascii="Times New Roman" w:eastAsia="Calibri" w:hAnsi="Times New Roman" w:cs="Times New Roman"/>
          <w:sz w:val="24"/>
          <w:szCs w:val="24"/>
        </w:rPr>
        <w:t xml:space="preserve"> исследовательской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деятельности в сфере народного художественного творчества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3-4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«Режиссура и актерское мастерство», «Педагогика», «Психология»;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и руководство народной художественной культурой»,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1707E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41707E" w:rsidRPr="0041707E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41707E" w:rsidRPr="0041707E" w:rsidRDefault="0041707E" w:rsidP="0041707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41707E" w:rsidRPr="0041707E" w:rsidRDefault="0041707E" w:rsidP="0041707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 xml:space="preserve">УК-6.2 - Демонстрирует понимание важности </w:t>
            </w:r>
            <w:r w:rsidRPr="0041707E">
              <w:rPr>
                <w:sz w:val="20"/>
                <w:szCs w:val="20"/>
              </w:rPr>
              <w:lastRenderedPageBreak/>
              <w:t>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цели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41707E" w:rsidRPr="0041707E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 Способность реализовывать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41707E" w:rsidRPr="0041707E" w:rsidRDefault="0041707E" w:rsidP="0041707E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15A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D7576">
        <w:rPr>
          <w:rFonts w:ascii="Times New Roman" w:hAnsi="Times New Roman" w:cs="Times New Roman"/>
          <w:sz w:val="24"/>
          <w:szCs w:val="24"/>
        </w:rPr>
        <w:t>24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15A45">
        <w:rPr>
          <w:rFonts w:ascii="Times New Roman" w:hAnsi="Times New Roman" w:cs="Times New Roman"/>
          <w:sz w:val="24"/>
          <w:szCs w:val="24"/>
        </w:rPr>
        <w:t>1</w:t>
      </w:r>
      <w:r w:rsidR="007D7576">
        <w:rPr>
          <w:rFonts w:ascii="Times New Roman" w:hAnsi="Times New Roman" w:cs="Times New Roman"/>
          <w:sz w:val="24"/>
          <w:szCs w:val="24"/>
        </w:rPr>
        <w:t>43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015282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315A45">
        <w:rPr>
          <w:rFonts w:ascii="Times New Roman" w:hAnsi="Times New Roman" w:cs="Times New Roman"/>
          <w:sz w:val="24"/>
          <w:szCs w:val="24"/>
        </w:rPr>
        <w:t>, 9ч. экзамен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315A45" w:rsidRPr="00315A45" w:rsidTr="000761A4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15A45" w:rsidRPr="00315A45" w:rsidTr="000761A4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A45" w:rsidRPr="00315A45" w:rsidTr="000761A4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педагогики НХК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организации этнокультурного образования в Российской Федерации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форм организации учебного процесса в коллективе НХК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Педагогические технологии этнокультурной деятельности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основы педагогики народного художественного творчества</w:t>
            </w:r>
          </w:p>
        </w:tc>
        <w:tc>
          <w:tcPr>
            <w:tcW w:w="387" w:type="pct"/>
            <w:vMerge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315A45" w:rsidRPr="00315A45" w:rsidTr="00315A45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315A45" w:rsidRPr="00315A45" w:rsidRDefault="00D6020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педагогического руководства народным художественным коллективом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педагогическими системами НХК как отрасль педагогического знания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НХК как субъекты художественно-творческой деятельности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руководителя коллектива НХК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Педагогическое </w:t>
            </w:r>
            <w:r w:rsidR="000761A4"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общение</w:t>
            </w:r>
          </w:p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7" w:type="pct"/>
            <w:vMerge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315A45" w:rsidRPr="00315A45" w:rsidTr="000761A4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315A45" w:rsidRPr="001E5462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15A45" w:rsidRPr="00315A45" w:rsidRDefault="001E5462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315A45" w:rsidRPr="00315A45" w:rsidRDefault="007D3123" w:rsidP="0007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15A45" w:rsidRPr="00315A45" w:rsidRDefault="000761A4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315A45" w:rsidRPr="00315A45" w:rsidRDefault="00315A45" w:rsidP="007D3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D3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</w:p>
        </w:tc>
        <w:tc>
          <w:tcPr>
            <w:tcW w:w="297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Раздел 1. Теоретические основы педагогики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1. Введение. Предмет и задачи педагогики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Роль народного художественного творчества в воспитании личности. Предмет, объект и задачи педагогики народного художественного творчества. Основные категории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Вклад ученых вузов культуры и искусств в развитие педагогики НХК.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2. Приобщение подрастающего поколения к народной художественной культуре стратегическая цель предмета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Целеполагание в педагогической науке. Понятие «приобщение» подрастающего поколения к народной художественной культуре. Функции и структура приобщения детей и молодежи к народной художественной культуре.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3. Методология практической педагогической деятельности руководителя народного художественного творчества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Методологические основы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Анализ основных категорий и понятий методологии. Уровни методологии: гносеологический, мировоззренческий, научно-содержательный, логико-гностический. Характеристика общей, специальной (конкретно-научной) и частной методологии. Методологические приемы. Логика и программа исследований в педагогике народного художественного творчества.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Методы педагогического исследования. Взаимосвязь методологии, методов и методик педагогического исследования.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семинару: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 В чем сущность методологии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?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2. В чем проявляется методологическая культура педагога,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?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3. Назовите уровни методологического знания и покажите их специфику в педагогике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4. Дайте характеристику основных современных учений, выступающих в качестве философской основы методологии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5. Раскройте сущность системного подхода как общенаучной методологии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6. Назовите конкретно-методологические принципы педагогических исследований и проиллюстрируйте их конкретными примерами.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7. Какова логика организации исследования в педагогике? Дайте характеристику его этапов.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8. Раскройте содержание программы педагогического исследования.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9. В чем суть методики педагогического исследования?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10. Охарактеризуйте и проиллюстрируйте на примерах методы педагогического исследования.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4. Сущность и структура педагогики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Педагогика народного художественного творчества как одно из направлений современной педагогической науки. Предмет и задачи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Основные компоненты педагогики народного художественного творчества.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>Междисциплинарный характер педагогики народного художественного творчества.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Формирование и развитие духовно-нравственной культуры участников как важнейшая цель педагогического процесса.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5. Система организации этнокультурного образования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 Российской Федерации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Понятие системы образования в РФ. Образование как система – сеть разнообразного уровня и типа сеть образовательных учреждений. Разнообразные концепции модернизации и реформирования системы образования в РФ и школы. Система художественного образования в РФ. Концепция развития художественного образования в России.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Русская и национальная школа: проблемы и перспективы. Этнос и этнические особенности системы образования. Место этнокультурного образования в системе образования РФ.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6. Дополнительное образование детей и молодежи.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Дополнительное образование детей и молодежи – многоуровневая целостная система. Характеристика учреждений дополнительного образования.  Художественно-творческая деятельность в учреждениях дополнительного образования. Дополнительные образовательные программы и дополнительные образовательные услуги.   Этнохудожественное дополнительное образование детей и подростков. Дополнительные образовательные программы по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различной направленности. Нормативно-правовое обеспечение дополнительного образования детей и подростков.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7. Детские и молодежные этнокультурные объединения. Детские ЭКЦ.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Социально-педагогические и этнохудожественные признаки объединения как особой формы работы по приобщению детей и молодежи к народной художественной культуре. Цели и задачи педагогического руководства этнохудожественными объединениями детей и молодежи. Сущность творческой деятельности и ее особенности в этнокультурных объединениях. Особенности педагогического руководства детскими этнокультурными центрами.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8. Особенности этнохудожественного педагогического процесса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Понятие «педагогический процесс». Структура педагогического процесса. Художественно-творческая деятельность как основа педагогического процесса, ее основные виды.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Цель и задачи обучения. Специфика педагогических принципов, методов обучения и воспитания в коллективе народного творчества. Формы художественно-творческого процесса. Формы педагогического контроля.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Специфика педагогического руководства групповыми формами художественно-творческой деятельности коллектива. 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  Охарактеризовать педагогический процесс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2. Проанализировать существующие формы и методы развития и воспитания личности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3. Определить цели, задачи и функции педагогического процесса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4. Показать принципы отбора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содержания деятельности 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4. Выявить наиболее актуальные формы и методы реализации содержания деятельности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8. Классификация форм организации учебного процесса в коллективе НХК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>Образование как культурный феномен. Структура и средства учебно-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творческой деятельности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Принципы отбора содержания этнокультурного образования. Критерии отбора содержания этнокультурного образования. Способы обучения народной художественной культуре. Классификация форм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обучения народной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художественной культуре. Типология урока. Виды репетиционных занятий.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Альтернативные формы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занятий.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9. Требования к занятию в коллективе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Особенности современного учебного занятия в кружке (секции, студии) народного творчества. Основные задачи учебного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занятия кружка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(секции, студии) народного творчества. План и конспект учебного занятия. Методы и приемы обучения на занятиях. Формы учебной деятельности учащихся на занятии кружка (секции, студии) народного творчества. Типы учебных занятий. Типология учебных занятий по образовательным целям и логика их построения. Традиционные и новые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формы проведения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учебных занятий. Организация начала учебного занятия (секции, студии) народного творчества. Требования к изложению материала педагогом. Организация и проведение первых занятий кружка. Самоанализ учебного занятия. Психолого-педагогическая схема анализа кружкового занятия. Схема анализа занятия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кружка при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формировании самостоятельности воспитанников.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10. Педагогические технологии этнокультурной деятельности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Педагогическая технология как последовательная, взаимосвязанная система действий педагога, направленная на решение педагогических задач. Социально-культурная необходимость разработки педагогических технологий. Причины возникновения и практического применения педагогических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технологий: внедрение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системно-деятельностного подхода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практику классно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-урочной системы; активизация учебно-познавательной деятельности; организация взаимодействия педагога и учащихся, обеспечивающих высокий результат обучения. Основные характеристики педагогических технологий. Классификация педагогических технологий. Технологии в этнокультурном образовании.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1.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Дайте сравнительную характеристику задачам, содержанию и особенностям традиционной и развивающей системы образования (на примере систем Л.В. Занкова, Д.Б. Эльконина, В.В. Давыдова)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Проанализируйте личностно-ориентированные технологии, применяемы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этнокультурном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образовании.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Дайте характеристику коллективных технологий в работе коллектива народного художественного творчества.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4.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Приведите примеры игровых технологий в деятельности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5.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Назовите авторские технологии в этнокультурном образовании. 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12. Международные нормативные документы.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Нормативно-правовые документы РФ.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Правовые аспекты, принципы и основные направления регулирования международного культурного сотрудничества. Международные организации в системе правового регулирования международных культурных отношений. ЮНЕСКО, его роль в международном культурном сотрудничестве. Правовые проблемы возврата культурных ценностей. Правовое регулирование социально-культурных процессов в России: основные тенденции развития.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Правовые и нормативные основы организации художественной самодеятельности.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Общественные объединения: их сущность и нормативное обеспечение.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Цели деятельности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 функции общественных объединений. Правовое и нормативное обеспечение художественной самодеятельности. Примерное Положение о коллективах художественной самодеятельности и технического творчества. Положение о народных самодеятельных коллективах. Положение о любительском объединении. Примерное положение о самодеятельном коллективе-спутнике. Инструктивные письма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Международные нормативные документы. Декларация прав ребенка. Конвенция о правах ребенка. Декларация или план действий «Мир, пригодный для детей». Документы ЮНЕСКО о фольклорном наследии.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Нормативные документы РФ: Законодательство о культуре», Закон РФ «Об образовании», «Национальная Доктрина об образовании», Документы Государственного совета при Президенте РФ «О государственной поддержке народной художественной культуры» (2006)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Раздел 2. Исторические основы педагогики народного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художественного творчества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1. Народная педагогика как основа педагогики народного художественного творчества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Моноэтническая и полиэтническая культурная среда.  Культуроемкость образовательной среды.  Этнические, религиозные и мифологические основы народной педагогики. Опыт передачи художественных традиций в народной педагогике.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 Объясните значение этнопедагогики в развитии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2.Какое значение имеет этнопедагогика в профессиональной подготовке будущих руководителей коллективов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 Какое значение имеет народная культура в воспитании подрастающего поколения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4.Соотнесите понятия «народная педагогика»- «этнопедагогика».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5. Покажите на примерах, какие приемы и методы приобщения детей к народной культуре использовались в народной педагогике.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2. Реформы Петра Первого. Любительское сценическое искусство.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Появление руководителей художественных коллективов.</w:t>
      </w:r>
    </w:p>
    <w:p w:rsidR="000761A4" w:rsidRPr="000761A4" w:rsidRDefault="00C54D49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театрального</w:t>
      </w:r>
      <w:r w:rsidR="000761A4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искусства русского народа в первой четверти XVIII века. Петербургская театральная культура XVIII в. Создание нового литературно-художественного театра и новой драматургии. Художественно-просветительская деятельность новгородского архиепископа Феофан Прокоповича. Выдающийся просветитель начала XVIII века ввел в программу занятий семинаристов обучение искусствам. В своих проповедях он всячески содействовал привитию светской музыкальной культуры на русской народной почве.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Реформы Петра I.  Ассамблеи, на которых звучала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музыка во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время танцев и застолий, вошедшая во второй четверти XVIII века в церемониал дворца. Деятельность Пётра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I по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организации духовых оркестров, игравших в армии и общественных местах. Творчество первого композитора двора Петра I – «государева певчего дьяка» В.П.Титова, писавшего музыку для важнейших событий: концерт на Полтавскую победу 1709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года, музыка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на «Псалтырь» для исполнения в миру грамотными любителями музыки.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Деятельность Пётра I по организации собственного хора: приглашение образованных певчих, участвующих в дальних походах Петра, деливших с ним вечерний досуг, сопровождавших церковные службы. Начало распространения в России домашнего партесного пения.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Роль музыкантов-энтузиастов в становлении музыкально-просветительской деятельности. Д.И. Бортнянский придворный клавесинист, композитор, руководитель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Придворной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певческой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капеллы, писал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музыку для празднеств и спектаклей, сонаты и пьесы для обучения клавирному искусству. Педагогическая деятельность в Смольном институте благородных девиц, в Петербургском филармоническом обществе, участие в деятельности Академии художеств.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Музыкально просветительская деятельность отечественных композиторов М.С. Березовского, В.А.Пашкевича, И.Е. Хандошкина, В. Трутовского, Д.И. Бортнянского, В.С.Караулова, И.Г. Прача: участие в музыкальной жизни кружков и салонов, педагогическая и общественная деятельность.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Идея И.И.Новикова публикации народных преданий и песен. Издание сборников песен Г.Н.Теплова, М.Д.Чулкова, В.Д. Трутовского, Н.А.Львова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, И.Г.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Прача, доступных для домашнего музицирования.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Театр как средство общественного воспитания. Школьные и светские театры.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форм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любительского театра и театра городских «низов». Накопление опыта для дальнейшего утверждения национального русского театра.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Прекращение преследования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скоморохов. Возрастание интереса широких народных масс к театру. Появление бродячие труппы комедиантов, дававшие представления для народа.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Бытование народного творчества во всех слоях русского общества. Исполнение крестьянских песен при дворе и в помещичьих усадьбах.  Импровизации, народные наигрыши, аккомпанемент к песням – сфера приложения творческих сил народных музыкантов. Популярность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лирических кантов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предназначенных для камерного, домашнего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исполнения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Исполнение музыкантам-любителям духовных произведений небольшими хорами.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3. Любительское творчество в 19 веке. 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Социально-педагогическая функция любительского народного творчества в конце 18 – начала 19 века.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Приобщение к классическому искусству и светским формам художественного творчества в учебных заведениях.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Любительские оркестры, академические хоры и театральные коллективы. Оркестры рожечников (В. Кондратьев), русский народный оркестр (В. Андреев),  крестьянский хор (И. Молчанова, М. Пятницкого).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Освещение в прессе деятельности любительских коллективов. Теоретические труды по поддержке народного творчества (А. Блок, М. Горький, Ф. Меринг, Л. Толстой, Н. Крупской, А. Луначарского и др.).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Репертуар любительских коллективов, особенности педагогического руководства творческой деятельностью любителей. Опыт В.Андреева, М. Пятницкого, К. Станиславского, В. Немировича-Данченко, М. Горького и др.). 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Нотоиздательская деятельность П.И. Юргенсона.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4. Роль различных обществ, народных университетов, Бесплатной музыкальной школы в развитии любительской самодеятельности.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Возникновение первого музыкального общества «Музыкальный клуб» в 1772 году в Петербурге, в задачи которого входила организация концертов, маскарадов и балов.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 первой половине XIX века по инициативе любителей музыкального искусства создавалось множество концертных объединений: Музыкальная академия во главе с Ф.П.Львовым, Общество любителей музыки под начальством М.Ю. Вильегорского, Московское благородное собрание и др. Просветительская деятельность данных объединений, целью которых было знакомство широкой публики с интересными исполнителями и выдающимися музыкальными произведениями.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Своеобразные «академии изящных искусств» на дому - музыкальные салоны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российских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аристократов: В.Ф.Одоевского, З.А.Волконской, знамениты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были «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четверги» Вельтмана и др.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Возникновение музыкальных кружков и собраний в слоях среднего и мелкопоместного дворянства, в интеллигентской, «служилой» среде, например, кружок профессора Медико-хирургической академии С.П.Боткина, творческое содружество М.А. Балакирева, профессора инженерной академии Ц.А. Кюи, военного офицера М.П. Мусоргского, учёного-химика А.П. Бородина и морского офицера Н.А. Римского-Корсакова, музыкальные вечера у А.А. Дельвига.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Музыкально-просветительские учреждения Москвы и Петербурга во второй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половине 19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века. Создание Русского музыкального общества в 1859 году и первых русских консерваторий. Роль в создании этих просветительских центров братьев Антона и Николая Рубинштейна.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Привлечение народных масс к системным занятиям музыкой в Бесплатной музыкальной школе (Г. Ломакин, М. Балакирев) по ликвидации художественной неграмотности.  Работа литературно-художественных кружков, народных университетов, народных домов по приобщению населения к классическому искусству. Деятельность Н. Привалова. Певческие курсы в городах России.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традиций домашнего музицирования в интеллигентской среде.  Музыкально-просветительская деятельность «Передвижников». Просветительская деятельность В.Д. Поленова, его Народного дома для рабочих и их детей, в которых обучали грамоте и театральному искусству.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Возникновение бесплатных воскресных школ общеобразовательных и художественных в регионах России.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Зарождение традиции музыкально-просветительской деятельности среди детей. В 1898 году в Петербурге открылось «Общество детских развлечений»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возглавляемое А.Н.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Кремлёвым.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кружков и коллективов художественного творчества на селе. Организация курсов музыкальной грамоты в крупных селах. Организация А.Д.Кастальским Крестьянских концертов в Литературном художественном кружке, в Большом и Малом залах консерватории, в Политехническом кружке.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1.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Возникновение и просветительская деятельность Народных университетов в России.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Просветительская деятельность ученых,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интеллигенции, профессиональных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артистов,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музыкантов по ликвидации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художественной безграмотности населения.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Музыкальные салоны российских аристократов.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4.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Деятельность Бесплатной музыкальной школы.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5.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Деятельность «Общества детских развлечений».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6.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Развитие кружков и коллективов художественного творчества на селе.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5. Русская усадьба как очаг классической культуры.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Создание культуры классической русской усадьбы в конце XVIII века. "Указ о вольности дворянства" (1762 г.). Массовое усадебное строительство. Усадебная модель как воплощение мечты об идеале.  А.А.Фет: "Это "дом" и "сад", устроенные на лоне природы, когда человеческое едино с "природным" в глубочайшем органическом расцвете и обновлении, а природное не дичится облагораживающего культурного возделывания человеком, когда поэзия родной природы развивает душу рука об руку с красотой изящных искусств, а под крышей усадебного дома не иссякает особая музыка домашнего быта, живущего в смене деятельности труда и праздного веселья, радостной любви и чистого созерцания".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Усадебное музицирование было основным источником музыкальной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жизни России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XVIII века. В дворянских домах владельцев крепостных музыкантов создавались театры, хоровые капеллы, оркестры (роговой или камерный). Тогда же появились крепостные театры, сыгравшие большую роль в становлении русской культуры. Самыми знаменитыми считались театры графа Н.П.Шереметева и А.Р.Воронцова, где было поставлено более пятидесяти опер и исполнено огромное количество инструментальной музыки западноевропейских композиторов. Музыка здесь была уже не только развлечением, но 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эстетической, культурной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потребностью. Владельцы музыкальных коллективов интересовались новыми сочинениями, обменивались нотами, обсуждали репертуар.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Развитие художественного творчества в усадьбах русского дворянства: театральное искусство, музыкальное исполнительство, литературное и изобразительное творчество.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Усадебное музицирование. Создание в дворянских домах из крепостных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музыкантов театров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хоровых капелл, оркестров (роговой или </w:t>
      </w:r>
      <w:r w:rsidR="00C54D49">
        <w:rPr>
          <w:rFonts w:ascii="Times New Roman" w:eastAsia="Arial Unicode MS" w:hAnsi="Times New Roman" w:cs="Times New Roman"/>
          <w:sz w:val="24"/>
          <w:szCs w:val="24"/>
          <w:lang w:eastAsia="zh-CN"/>
        </w:rPr>
        <w:t>камерный). Роль крепостных теат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ров в становлении русской культуры. Знаменитые театры графа Н.П. Шереметева и А.Р. Воронцова как площадки исполнения инструментальной музыки западноевропейских композиторов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 удовлетворения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эстетической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 культурной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потребности дворянства. Система обучения музыкантов-любителей.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6. Организационная и просветительская деятельность русской интеллигенции, меценатов по созданию коллективов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Роль музыкантов – энтузиастов в становлении музыкально-просветительской деятельности. Деятельность Д.И. Бортнянского: участие в дворцовых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музицированиях, сочинение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музыки для празднеств и спектаклей, сочинение пьес для обучения клавирному искусству, участие в работе Петербургского филармонического общества, содействие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 организация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публичных концертов, консультации императорских фамилий по вопросам живописи.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Роль в становлении музыкального просветительства отечественных композиторов М.С.Березовского, В.А.Пашкевича, И.Е. Хандошкина, В.Трутовского, Д.И. Бортнянского и др. Их участие в музыкальной жизни кружков и салонов, занятия педагогической и общественной деятельностью. И.Е. Хандошкин руководитель оркестра Благородного клуба в Москве.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 1772 г. в Петербурге возникло первое музыкальное общество под названием Музыкальный клуб, в задачи которого входила организация концертов, маскарадов и балов.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Культурное развитие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России XVIII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создание очагов музыкального образования: Горный кадетский корпус, Академия художеств, Шляхетский кадетский корпус, Благородный пансион, Смольный институт, 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также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 сиротских домах. Обучение музыкальному искусству крепостных для пополнения оркестров и хоров помещиков.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нотопечатание в 1727 году (Академии наук в Петербурге), появление первых специализированных музыкальных издательств.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Своеобразные «академии изящных искусств» на дому - музыкальные салоны российских аристократов: Ф.Одоевского, З.А.Волконской, знамениты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были «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четверги» Вельтмана и др. Культурный центр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 доме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П.М.Третьякова, основателя картинной галереи, в Толмачах.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Народные школы музыкального просвещения, в которых преподавали музыканты, как: Л.В.Николаев, В.В. Софроницкий, В.Н. Цыбин, Г.И. Амосов, Б.В. Асафьев, В.Г. Каратыгин.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Просветительская роль мецената С.И.Мамонтова, открывшего в 1885 году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Москве театр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– Русскую частную оперу (именно в ней раскрылся талант Ф.И.Шаляпина), П.М.Третьякова основателя картинной галереи в Толмачах.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7. Просветительство и любительское народное творчество в СССР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Национализация Петербургской и Московской консерваторий. Реформы музыкального образования. Появление трех типов художественных образовательных учреждений: музыкальные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школы, техникумы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 консерватории.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Опыт организации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концертов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лекций Павловского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вокзала, Народного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дома для рабочих, красноармейцев и моряков.</w:t>
      </w:r>
    </w:p>
    <w:p w:rsidR="000761A4" w:rsidRPr="000761A4" w:rsidRDefault="00C54D49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Просветительская деятельность</w:t>
      </w:r>
      <w:r w:rsidR="000761A4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среди детей и юношества в 30-е годы. Деятельность методического центра «Дом художественного воспитания детей» в Ленинграде.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Усиление роли массовой художественной самодеятельности. Организация клубов самодеятельности с духовыми и народными оркестрами, хоровыми коллективами.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Связь музыкального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самодеятельного искусства с искусством профессиональным.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Распространение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культурно-просветительского движения по всей стране,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охват различных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слоев общества: рабочих, служащих, учащихся, интеллигенции, колхозников, частей Красной Армии и Флота. Появление самодеятельных камерных ансамблей и симфонических оркестров.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Деятельность народных школ музыкального просвещения, Союза композиторов, средств массовой информации. Новые направления музыкального просветительства: шефская работа по культурному обслуживанию рабочих, крестьян, армии и флота; организация университетов культуры для взрослых; работа по музыкальному просветительству среди детей и юношества; рождение и развитие художественной самодеятельности при поддержке профессиональных музыкантов.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8. Любительские формы НХК в России на рубеже XX-XXI веков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Культурная жизнь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России после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1985 года. Реализации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федеральных целевых программ для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сохранения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развития культуры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 искусства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Российской Федерации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1993-1999 годах.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Федеральная   целевая   программа «Культура  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России (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2001–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2005 годы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). Основные цели Программы. Подпрограмма "Развитие культуры и сохранение культурного наследия России", система мероприятий, позволяющая решить обозначенные проблемы.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Возрождение на рубеже XX–XXI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веков просветительских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традиций. Крупные центры музыкальной культуры: Московская государственная академическая филармония, журналы «Музыкальная жизнь» и «Музыкальное просвещение», телевизионный канал «Культура» и др.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9. Подготовка и переподготовка кадров для коллективов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Этапы становления профессиональной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подготовки.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Первый этап охватывает период с 1917 года по 1930 год. Первый Всероссийский съезда по внешкольному образованию (1919).  Создание сети специальных учебных заведений</w:t>
      </w:r>
      <w:r w:rsidR="00C54D49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- институтов и факультетов вне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школьного образования.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Второй этап становления развития профессиональной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подготовки -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30-50 годы ХХ века. Формирование основных компонентов системы современного профессионального образования. Расширении сети профессионально-технических училищ, профтехшкол, техникумов, готовивших специалистов средней квалификации. В эти годы в нашей стране создаются политпросветшколы, культпросветшколы основной задачей которых была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подготовка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руководящих работников политико-просветительной работы в регионах,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заведующих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клубами, а также техникумы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(музыкальные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, библиотечные) и т.д.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>В 1947 году по решению Совета Министров РСФСР создаются культурно-просветительные школы в ряде областей (Иркутская, Новосибирская, Московская, Ленинградская, Ростовская области, Красноярский край и т.д.) готовивших квалифицированных культпросветработников со средним специальным образованием, способных проводить серьезную работу по приобщению населения к традиционному народному искусству.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 середине 60-х годов культурпросветшколы получают новый статус - культурно-просветительного училища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Третий этап становления профессии связан с развитием в 60-90 годы высшего профессионального образования в сфере культуры и искусства. В 50-е годы в стране на базе библиотечных вузов стали создаваться культурно-просветительные факультеты, на которых были организованы отделения, задачей которых явилась подготовка специалистов для художественной самодеятельности – руководителей самодеятельных художественных коллективов (оркестровых, хоровых, театральных, хореографический).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Концепция создания специальности «теория и история народной художественной культуры» (1989–1990).  Результаты докторских диссертаций А.С. Каргина (1988), Е.И. Смирновой (1989), Т.И. Баклановой (1991) и других.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Создание в 1994 году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УМО высших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учебных заведений по образованию в области народной художественной культуры, социально-культурной деятельности и информационных ресурсов. Разработка государственных образовательных стандартов по специальности и направлению «народная художественная культура.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РАЗДЕЛ 3. МЕТОДИКА ПЕДАГОГИЧЕСКОГО РУКОВОДСТВА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1. Управление педагогическими системами как отрасль педагогического знания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Теория целостного педагогического процесса. Структура педагогического процесса: целеполагание, задачи и принципы организации. Содержание педагогического процесса в ХТК.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Методы педагогической деятельности. Формы организации художественно-творческой деятельности. Мониторинг качества педагогической 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2. Коллектив НХК как объект управления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Психолого-педагогические концепции коллектива. Понятие и признаки коллектива. Организация первичного коллектива. Характеристика художественно-творческого коллектива. Поэтапное развитие коллектива. Психологический климат в коллективе.  Влияние ХТК на личность участника.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Характеристика основных подходов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обучения при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работе с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художественными коллективами.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 Общая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характеристика основных видов коллективов НХК.  Этапы организации коллектива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Коллектив как объект и субъект воспитания: коллективное, групповое и индивидуальное в воспитании личности. Этапы 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уровни развития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коллектива.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Типы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виды коллективов. Сущностные и организационные основы функционирования детских художественных коллективов.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4.  Детский коллектив НХК и формирование личности в нем.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Роль художественного коллектива в воспитании личности.  Динамика и этапы развития детского коллектива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 Факторы воспитания личности в художественном коллективе.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5. Особенности создания программы развития коллектива НХК. Педагогическая инноватика.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Педагогическое проектирование. Проектирование педагогического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объекта: анализ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педагогического объекта, теоретическое обеспечение проектирования, методическое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обеспечение проектирования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пространственно-временное обеспечение проектирования, материально-техническое проектирование, правовое обеспечение проектирование,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составление документа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, мысленное экспериментирование применение проекта, экспериментальная оценка проекта, корректировка проекта, принятие решения о использовании проекта.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Функциональное и видовое разнообразие программ деятельности педагогов дополнительного образования. Анализ программ ДО по народной художественной культуре.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Психолого-педагогические особенности работы над программой развития коллектива.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Структура программы. Требования к ее содержательному, понятийному, технологическому строению.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         Инновации в образовании как способ изменения педагогической реальности.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Семинар – мозговой штурм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для семинара: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1.Разработка методики и составления программы развития творческого коллектива.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2.Разработка структуры программы.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3. Определение этапов работы над программой развития.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6. Субъекты педагогического процесса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Планирование и моделирование учебной деятельности. Целеполагание учебно-воспитательного процесса. Требования, предъявляемые к занятиям. Планирование учебной деятельности.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Участники 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как субъекты художественно-педагогической 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7. Роль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Руководитель коллектива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как субъект педагогической деятельности. Руководство народным художественным творчеством как вид профессиональной деятельности.  Особенности профессиональной деятельности руководителя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Характеристика профессионального потенциала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 Критерии профессиональных умений.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Профессионально-педагогический портрет руководителя ХТК. Основные функции руководителя ХТК: педагогические, художественно-творческие, социально-психологические, организационные.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Творчество педагога,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 Результаты педагогического творчества: открытия, изобретения, усовершенствования. Условия педагогического творчества: внешние, внутренние. Активизирующие методы выбора и решения педагогических задач.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8. Педагогическое взаимодействие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Сущность педагогического взаимодействия. Принципы педагогического взаимодействия и его виды. Характеристика педагогического взаимодействия как процесса. Типы взаимодействия. Сущность педагогического регулирования взаимодействия участников коллектива народного художественного творчества. Классификация методов педагогического взаимодействия.  Конфликты и виды их 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преодоления. Алгоритм анализа решении я педагогической ситуации и решения педагогических задач по организации взаимодействия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9.  Педагогическое общение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Сущность педагогического общения. Средства общения: вербальные и невербальные. Процедура общения.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Обучение народному художественному творчеству как общение. Структура педагогического общения: моделирование предстоящего общения; организация общения; непосредственно само общение; анализ общения. Коммуникативная компетентность. Стратегии, тактики, виды общения.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Перцептивная сторона процесса общения. Пути формирования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качеств, участников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коллектива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необходимых для общения.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Логика педагогического воздействия: педагогическая задача и ее решение, система методов педагогического воздействия, система коммуникативных задач, педагогическое воздействие и взаимодействие.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10. Методы диагностики творческих способностей участников коллективов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Понятие «педагогическая диагностика».  Функции педагогической диагностики.  Основные методы педагогической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диагностики духовно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-нравственной культуры участника ХТК.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Диагностика индивидуальных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проблем развития и воспитания личности.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11. Научно-методическое обеспечение деятельности коллектива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Задачи, содержание и формы организации учебно-методической работы педагогов, руководителей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Функции методического обеспечения: внедрения результатов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научного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исследования в практику: обобщения и трансляции педагогического опыта; текущей педагогической помощи.   Педагогическое обеспечение учебно-воспитательного процесса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: учебный план и учебная программа, образовательные технологии.</w:t>
      </w:r>
    </w:p>
    <w:p w:rsidR="000761A4" w:rsidRPr="00C114AC" w:rsidRDefault="000761A4" w:rsidP="000761A4">
      <w:pPr>
        <w:ind w:left="1080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:rsidR="008B5F4B" w:rsidRDefault="008B5F4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Лекционные и семинарские занятия;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09" w:rsidRPr="006D61BD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УК6; ПК4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709" w:rsidTr="0017770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ПК4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177709" w:rsidP="00177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УК6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77709" w:rsidRPr="00177709" w:rsidRDefault="00177709" w:rsidP="00177709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Темы для эссе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Федеральное законодательство как гарантия развития национальных культур в современной России.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Цели и задачи этнокультурного образования в России. 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Компетентность педагогического коллектива и его участие в реализации целей и задач этнокультурного образования.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Цели и задачи общеобразовательных учреждений с этнокультурным компонентом. 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Разнообразие моделей образовательных учреждений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этнокультурными компонентами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Механизмы реализации этнокультурного компонента в образовательных областях.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7. Этнокультурный компонент в образовательных программах дополнительного образования.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9. Учебно-образовательные центры с изучением национального языка, литературы, истории, культуры, музыки и традиций этноса. 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Принципы, лежащие в основе деятельности школ с этнокультурным компонентом?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Баланс интересов детей коренных москвичей и детей мигрантов.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Причины 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снижения уровня культуры среди школьников Москвы вне зависимости от национальности.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Русский язык как инструмент межнационального общения и единства общества.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Изучение национальных языков и национальных культур на дополнительных занятий и факультативах.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Изучение русского, национального языков и культур как фактор, способствующий развитию межнационального диалога.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Возникновение восточнославянской культурно-исторической общности  на Восточно-Европейской равнине.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Влияние природно-климатического фактора на формирование культурно-исторической и этнической общности.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Влияние религиозного фактора на развитие этнической культуры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Русской Православной Церкви в развитии российской культуры.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по первому разделу «Педагогики НХК»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народного художественного творчества – это наука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специфике художественного воспитания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досуга населения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личности средствами НХТ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саморазвитии личности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Художественно-педагогический процесс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самодеятельности личности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художественным творчеством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воспитанием и образованием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закономерностей процесса приобщения человека к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сущности, функций, принципов педагогического руководства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специфических форм, методов и приемов приобщения человека к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потенциала различных видов самодеятельного искусства;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возможностей организаторской деятельности руководителя и участников самодеятельного коллектива 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Педагогика имеет межпредметные связи  с: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этнопедагогика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этнопсихология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социология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и история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этнография (этнология)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молодежи к НХК – это: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деятельность по освоению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эмоциональное ознакомление и изучение культурного наследия народов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отчужденности от культуры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культурных ценностей при «общении с культурой»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приобщения  детей и молодежи к народной художественной культуре: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культурными достижениями народа</w:t>
            </w:r>
          </w:p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Художественно-творческая деятельность по освоению различных видов народного искусства</w:t>
            </w:r>
          </w:p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Ценностно-ориентационная рефлексия</w:t>
            </w:r>
          </w:p>
        </w:tc>
      </w:tr>
      <w:tr w:rsidR="00177709" w:rsidRPr="00177709" w:rsidTr="00177709">
        <w:trPr>
          <w:trHeight w:val="316"/>
        </w:trPr>
        <w:tc>
          <w:tcPr>
            <w:tcW w:w="3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характеристику основных компонентов процесса приобщения детей к НХК: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Информационно-познавательный –</w:t>
            </w:r>
          </w:p>
        </w:tc>
      </w:tr>
      <w:tr w:rsidR="00177709" w:rsidRPr="00177709" w:rsidTr="00177709">
        <w:trPr>
          <w:trHeight w:val="279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(художественно-творческий) </w:t>
            </w:r>
          </w:p>
        </w:tc>
      </w:tr>
      <w:tr w:rsidR="00177709" w:rsidRPr="00177709" w:rsidTr="00177709">
        <w:trPr>
          <w:trHeight w:val="268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Аксиологический –</w:t>
            </w:r>
          </w:p>
        </w:tc>
      </w:tr>
      <w:tr w:rsidR="00177709" w:rsidRPr="00177709" w:rsidTr="00177709">
        <w:trPr>
          <w:trHeight w:val="259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Рефлексивный – 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Завершить логическую последовательность: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– присвоение - …… .</w:t>
            </w:r>
          </w:p>
        </w:tc>
      </w:tr>
    </w:tbl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Соотнесите методы педагогических исследований (слева) с их характеристикой (справа).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1. Наблюдение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а) анализ, оценка, приведение в систему эмпирического материала;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2. Беседа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б) выявление наиболее эффективных условий использования научных рекомендаций, накопление фактического материала, который является основой теоретических выводов и обобщений;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3. Анкетирование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в) создание идеальной модели организации и условий  воспитательного процесса;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4. Метод изучения школьной документации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г) сбор фактов и фиксация непосредственного поведения детей в отношениях, деятельности, поведении;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Теоретические методы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д) взаимный обмен информацией в свободном диалоге;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6. Опытная работа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е) письменный опрос;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7. Эксперимент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ж) специально организованная проверка того или иного метода или приема работы для выяснения его педагогической эффективности;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8. Моделирование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з)получение информации о ребенке, зафиксированной в рукописном или печатном тексте, на магнитофоне, кинопленке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9. Обобщение опыта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и) вычленение наиболее специфических черт, особенностей передового или новаторского опыта</w:t>
            </w:r>
          </w:p>
        </w:tc>
      </w:tr>
    </w:tbl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Завершите начатые предложения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4"/>
        <w:gridCol w:w="5816"/>
      </w:tblGrid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Методология исследования педагогики НХТ – это 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Уровни методологического знания  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rPr>
          <w:trHeight w:val="914"/>
        </w:trPr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Методологическая культура педагога, руководителя коллектива НХТ - это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99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Соотнесите уровни методологического знания  (слева) с их характеристикой (справа).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1.Системный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Признание личности  как продукта общественно-исторического развития и носителя культуры. Признание уникальности личности, ее интеллектуальной, нравственной свободы, права на уважение. Он предполагает опору в воспитании личности  на естественный процесс саморазвития задатков и творческого потенциала личности, создание для этого соответствующих условий.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2.Личностный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Б)   Основа, средство и решающее условие развития личности – деятельность. Это преобразование людьми окружающей действительности. Предметная деятельность и общение важнейшие стороны человеческого бытия.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3.Деятельностный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В)   Микросоциум и отношения между субъектами – важные источники духовного развития личности. В актах взаимодействия с окружающими людьми, искусством, природой личность обретает свое человеческое, гуманистическое содержание.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4.Диалогический 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(полисубъектный)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 Каждому виду человеческой деятельности как целенаправленной и мотивированной, культурноорганизованной присущи свои основания, оценки и критерии, а также способы оценивания. </w:t>
            </w: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Подход позволяет организовать педагогический процесс, обеспечивающий формирование ценностных ориентаций личности. 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5.Аксиологический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Д) Отражает всеобщую связь и взаимообусловленность явлений и процессов окружающей действительности. Предполагает познание сложного целого через его расчленение на  более простые составляющие части и изучение их природы не изолированно, а во взаимосвязи, развитии и движении.</w:t>
            </w:r>
          </w:p>
        </w:tc>
      </w:tr>
    </w:tbl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Завершите психологическую структуру деятельности: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МОТИВ – ЦЕЛЬ -    ……     -  …………………………. -  РЕЗУЛЬТАТ.</w:t>
      </w:r>
    </w:p>
    <w:p w:rsidR="00177709" w:rsidRPr="00177709" w:rsidRDefault="00177709" w:rsidP="0017770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Тематика и планы коллоквиумов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1: «Исторические основы педагогики НХТ»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Роль народной педагогики в становлении методики приобщения подрастающего поколения к НХТ.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Появление первых руководителей коллективов народного художественного творчества. 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Влияние Русской Православной Церкви на развитие педагогики НХТ.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Федеральное законодательство в развитии и становлении народного художественного творчества. 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2: </w:t>
      </w: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«Создание модели школы с этнокультурными компонентами»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Цели и задачи этнохудожественного образования в России. 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Компетентность педагогического коллектива и его участие в реализации целей и задач этнокультурного образования.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Цели и задачи общеобразовательных учреждений с </w:t>
      </w:r>
      <w:bookmarkStart w:id="1" w:name="YANDEX_24"/>
      <w:bookmarkEnd w:id="1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этнокультурным </w:t>
      </w:r>
      <w:bookmarkStart w:id="2" w:name="YANDEX_25"/>
      <w:bookmarkEnd w:id="2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компонентом. 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Разнообразие моделей образовательных учреждений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этнокультурными компонентами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Механизмы реализации этнокультурного компонента в образовательных областях.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6. Этнокультурный</w:t>
      </w:r>
      <w:bookmarkStart w:id="3" w:name="YANDEX_323"/>
      <w:bookmarkEnd w:id="3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в образовательных программах дополнительного образования.</w:t>
      </w:r>
    </w:p>
    <w:p w:rsidR="00177709" w:rsidRPr="00177709" w:rsidRDefault="00177709" w:rsidP="00E3548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Учебно-образовательные центры с изучением национального языка, литературы, истории, культуры, музыки и традиций этноса. 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Принципы, лежащие в основе деятельности </w:t>
      </w:r>
      <w:bookmarkStart w:id="4" w:name="YANDEX_26"/>
      <w:bookmarkEnd w:id="4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 с этнокультурным компонентом.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вопросы к зачету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7054"/>
      </w:tblGrid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Вопросы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коллектива в педагогике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1.Психолого-педагогические концепции  развития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2.Понятие и признаки коллектива народного художественного творчества.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3.Организация  и характеристика художественно-творческого коллектива детей и подростков.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 Программа  развития коллектива народного художественного творчества.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Роль субъектов коллектива в создании благоприятного психологического климата.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6.Воспитание личности  в коллективе НХТ средствами художественно-творческой деятельности.</w:t>
            </w:r>
          </w:p>
        </w:tc>
      </w:tr>
      <w:tr w:rsidR="00177709" w:rsidRPr="00177709" w:rsidTr="00177709">
        <w:trPr>
          <w:trHeight w:val="124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Педагогическое управление художественно-творческим коллективом.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1.Педагогический менеджмент в деятельности руководителя коллектива НХТ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2.Основные функции руководителя ХТК: педагогические, художественно-творческие, социально-психологические, организационные.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диагностика результативности деятельности участников коллектива НХТ.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1.Педагогическая диагностика творческих способностей участников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Основные методы педагогической диагностики  духовно-нравственной культуры участника ХТК.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Диагностика  индивидуальных проблем развития и воспитания личности.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антропотехник в работе с художественным коллективом.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Педагогические условия применения антропотехники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Использование  арт-терапия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3.Цветотерапия как психологический инструмент  развития личности.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4.Сказкотерапия в практике работы руководителя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документация в коллективе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1.Документация, регламентирующая деятельность ХТК.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Методическое оснащение учебного процесса в коллективе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развития коллектива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1.Психолого-педагогические особенности создания программы развития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Психолого-педагогические требования к содержанию учебно-творческой деятельности в коллективе НХТ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Технологии организации этнокультурной деятельности в коллективе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коллектива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Руководство народным художественным творчеством как вид профессиональной деятельности.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2.Особенности профессиональной деятельности руководителя НХК.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2.Характеристика профессионального потенциала руководителя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3.Критерии профессиональных умений руководителя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структура педагогического процесса в коллективе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E3548E">
            <w:pPr>
              <w:numPr>
                <w:ilvl w:val="1"/>
                <w:numId w:val="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Особенности структуры  этнохудожественного педагогического процесса.</w:t>
            </w:r>
          </w:p>
          <w:p w:rsidR="00177709" w:rsidRPr="00177709" w:rsidRDefault="00177709" w:rsidP="00E3548E">
            <w:pPr>
              <w:numPr>
                <w:ilvl w:val="1"/>
                <w:numId w:val="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Принципы организации педагогического процесса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 Психолого-педагогические характеристики содержания педагогического процесса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4.Методы  учебно-творческой деятельности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Формы организации художественно-творческой деятельности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 Мониторинг качества педагогической деятельности руководителя коллектива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межличностного общения в КХТ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1.Организация педагогического взаимодействия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2.Организация  межличностного общения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основы педагогики НХТ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Роль народной педагогики в становлении методики приобщения подрастающего поколения к НХТ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Появление первых руководителей коллективов народного художественного творчества. 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Влияние Русской Православной Церкви на развитие педагогики НХТ.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Федеральное законодательство в развитии и становлении народного художественного творчества. </w:t>
            </w:r>
          </w:p>
        </w:tc>
      </w:tr>
    </w:tbl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вопросов 2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Понятие и признаки коллектива, психолого-педагогические концепции  развития коллективов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Организация педагогического взаимодействия в коллективе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организации этнокультурного образования в Российской Федерации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о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сновные этапы  педагогического общения в коллективе народного художественного творчества. Коммуникативные умения педагога детского коллектива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Характеристика художественно-творческого коллектива. Методика  организации детского коллектива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Сущность и структура педагогического процесса в коллективе НХТ:  целеполагание, задачи и принципы организации.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Психологический климат в коллективе народного художественного творчества. Методика изучения психологического климата в детском коллективе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Методы организации педагогической деятельности в коллективе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Влияние художественно-творческого коллектива на развитие личности участника.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Формы организации художественно-творческой деятельности в коллективе НХТ.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занятию в коллективе НХТ.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Мониторинг качества учебно-воспитательного процесса в коллективе НХТ как функция педагогического менеджмента.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Документация, регламентирующая деятельность ХТК: учебная программа. 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Основные функции руководителя ХТК: педагогические, методические, проекционные,   организационные.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Педагогический  менеджмент в этнокультурном образовании и воспитании.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Учебно-методическая деятельность в деятельности руководителя художественного коллектива.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Понятие «педагогическая диагностика»,  функции педагогической диагностики. 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Основные методы педагогической диагностики  в деятельности руководителя коллектива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Психолого-педагогические особенности работы над программой развития коллектива. Понятие «учебная программа». Основные этапы прохождения утверждения программы.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Структура  учебной программы  коллектива народного художественного творчества в учреждении дополнительного образования.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Формы и методы народной педагогики как  исторический опыт приобщения молодежи к народной художественной культуре.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Руководство народным художественным творчеством как вид профессиональной деятельности.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Светское художественное образование как фактор развития любительских художественных коллективов в России (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XVIII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XX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Особенности профессиональной деятельности руководителя НХК.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Методические приемы православного художественного творчества в педагогике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Педагогический анализ в управленческой деятельности  организатора этнокультурного дополнительного образования.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Поэтапное развитие коллектива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Контроль в этнокультурном, этнохудожественном образовании как функция педагогического менеджмента.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Психолого-педагогический потенциал  педагогики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Критерии профессиональных умений руководителя коллектива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Тенденции развития педагогики народного художественного творчества в СССР.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Специфика учебно-воспитательного процесса в коллективе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Меценатство в России и его роль в развитии любительского творчества и  педагогики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детей и молодежи. Художественно-творческая деятельность детских коллективов в  системе дополнительного образования.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>Роль различных обществ, народных университетов, Бесплатной музыкальной школы в развитии любительской самодеятельности.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Методология педагогики 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Любительское сценическое искусство. Реформы  Петра 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val="en-US" w:eastAsia="ru-RU"/>
        </w:rPr>
        <w:t>I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>. Появление руководителей художественных коллективов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технологии этнокультурной деятельности: технологии групповой и индивидуальной работы, игровой деятельности и др.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Приобщение к классическому искусству и светским формам художественного творчества в учебных заведениях. Любительские оркестры, академические хоры и театральные коллективы в России 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val="en-US" w:eastAsia="ru-RU"/>
        </w:rPr>
        <w:t>XIX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 -начала 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val="en-US" w:eastAsia="ru-RU"/>
        </w:rPr>
        <w:t>XX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 века.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177709" w:rsidRPr="00177709" w:rsidRDefault="00177709" w:rsidP="001777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/ Ю. А. Стрельцов, Е. Ю. Стрельцова ; Моск. гос. ун-т культуры и искусств. - М.: МГУКИ, 2008. - 272 с.</w:t>
      </w:r>
    </w:p>
    <w:p w:rsidR="00177709" w:rsidRPr="00177709" w:rsidRDefault="00177709" w:rsidP="00177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Петрушин, В.И.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 и педагогика художественного творчества : учеб. пособие для вузов / В. И. Петрушин ; [Краснодар. гос. ун-т]. - [2-е изд.]. - М. : Гаудеамус: Акад. проект, 2008. - 488,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 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для студентов вузов / Ю. А. Стрельцов, Е. Ю. Стрельцова ; Моск. гос. ун-т культуры и искусств. - [2-е изд., испр. и доп.]. - М. : МГУКИ, 2010. - 307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Джуринский,А.Н.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педагогики и образования [Электронный ресурс]: Учебник / Александр Наумович; Пискунов А.И. - Отв. ред. - 4-е изд. ; пер. и доп. - М. : Издательство Юрайт, 2015. – 452с.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</w:pPr>
      <w:r w:rsidRPr="00177709"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Науменко, Г. М.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Фольклорная азбука [Текст] : методика обучения детей народному пению / Г. М. Науменко. - М. : Совр. музыка, 2013. - 135,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Художественно-педагогический словарь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Курск. гос. ун-т; сост.: Н. К. Шабанов и др. - М. : Трикста: Акад. проект, 2005. - 472,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2511F7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2511F7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137"/>
        <w:gridCol w:w="5840"/>
      </w:tblGrid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№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177709" w:rsidRPr="00177709" w:rsidTr="00177709">
        <w:trPr>
          <w:trHeight w:val="639"/>
        </w:trPr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Предмет и задачи педагогики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 с учебно-методической и научной литературой. Разработать схему «Педагогика НХТ в системе наук о человеке»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Приобщение подрастающего поколения к НХК как цель предмета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Прочитать книгу А.П. Ситникова «Акмеологический тренинг» и показать возможности антропотехник: 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научение в деятельности; 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учение; игра;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обучающие игры, тренинги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деятельности художественного коллектива.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Методология педагогики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 над домашним творческим заданием.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информации в Интернете по заданной теме.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презентации.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и структура педагогики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изучения дополнительной литературы составить опорные таблицы: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«Методы художественно-педагогической деятельности в НХТ».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Формы организации репетиций»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«Формы организации воспитательной работы»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организации этнокультурного образования в Российской Федерации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 над домашним творческим заданием.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образование детей и молодежи. 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Художественно-творческая деятельность в учреждениях ДО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книгу И.Акимова, В. Клименко  О природе таланта. «О мальчике, который умел летать или Путь к свободе»: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Законспектировать практические рекомендации о воспитании таланта.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и молодежные этнохудожественные  объединения. Детские ЭКЦ.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Прочитать и проанализировать:</w:t>
            </w:r>
          </w:p>
          <w:p w:rsidR="00177709" w:rsidRPr="00177709" w:rsidRDefault="00177709" w:rsidP="00E3548E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Концепцию этнокультурного образования в РФ (2005)</w:t>
            </w:r>
          </w:p>
          <w:p w:rsidR="00177709" w:rsidRPr="00177709" w:rsidRDefault="00177709" w:rsidP="00E3548E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Концепцию этнокультурного образования в Москве (2003)</w:t>
            </w:r>
          </w:p>
          <w:p w:rsidR="00177709" w:rsidRPr="00177709" w:rsidRDefault="00177709" w:rsidP="00E3548E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картотеку детских этнокультурных объединений в Московской области.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этнохудожественного педагогического процесса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биографии выдающихся  художников (музыкантов, артистов театра и балета) подготовить творческое резюме об особенностях и сущности художественно-творческой деятельности.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форм организации учебного процесса в коллективе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Посетить репетицию самодеятельного художественного коллектива и проанализировать обоснованность репертуарной политики.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занятию в коллективе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Разработать структуру различных видов занятий в коллективе НХК: вводное занятие, закрепление новой темы, урок-концерт,  урок-экскурсия.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Педагогические технологии этнокультурной деятельности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мини-энциклопедию приемов технологий этнокультурного (художественного) образования (6-10 приемов).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Международные нормативные документы.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Нормативно-правовые документы РФ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справочник электронных документов, регламентирующих деятельность в сфере этнохудожественного образования.</w:t>
            </w:r>
          </w:p>
        </w:tc>
      </w:tr>
    </w:tbl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РАЗДЕЛ 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125"/>
        <w:gridCol w:w="5840"/>
      </w:tblGrid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№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>Народная педагогика как основа педагогики НХТ.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Определение педагогических приемов обучение детей народному творчеству.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Определить собственно педагогические жанры  народной художественной культуры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Любительское сценическое искусство. Реформы  Петра </w:t>
            </w: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. Появление руководителей художественных коллективов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Поиск информации в Интернете по  реформам Петра </w:t>
            </w: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I</w:t>
            </w: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по культурно-просветительской деятельности  населения России. 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Приобщение к классическому искусству и светским формам художественного творчества в учебных заведениях. 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>Любительские оркестры, академические хоры и театральные коллективы.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Подготовить сообщение о деятельности создателей первых музыкальных и театральных коллективов любителей народного искусства.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Роль различных обществ, народных университетов, Бесплатной музыкальной школы в развитии любительской самодеятельности.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презентации о деятельности  кружков, народных консерваторий, университетов, общественных организаций по при  приобщению населения к НХТ.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Русская усадьба как очаг классической культуры.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Эссе «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Русская усадьба как очаг классической культуры»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Организационная и просветительская деятельность русской интеллигенции, меценатов по созданию коллективов НХК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Подготовка презентации о деятельности  интеллигенции, меценатов по  поддержке любительского творчества населения. 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Просветительство и любительское народное творчество в СССР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Изучение источников ИНТЕРНЕТ  о развитии любительского творчества в СССР.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Любительские формы НХК в России на рубеже 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XX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XXI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веков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Конспектирование материалов Совета при Президенте РФ «Государственная поддержка сохранения и развития народного художественного творчества» 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и переподготовка кадров для коллективов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Доклад о деятельности вузов культуры и искусств по подготовке специалистов.</w:t>
            </w:r>
          </w:p>
        </w:tc>
      </w:tr>
    </w:tbl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РАЗДЕЛ 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126"/>
        <w:gridCol w:w="5840"/>
      </w:tblGrid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№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педагогическими системами НХК  как отрасль педагогического знания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Прочитав книгу Ю.А. Конаржевского «Педагогический менеджмент». – М. ,1999.  Составить десять правил управления художественно-педагогическим коллективом.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Коллектив НХК как объект управления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педагогические исследования А. Макаренко, И.Иванова: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1.показать перспективные линии в развитии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2.приемы формирования коллектива.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влияние атрибутов, ритуалов, традиций на развитие и становление коллектива.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характеристика основных видов коллективов НХТ.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Этапы организации коллектива НХТ.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Нарисовать модель «Управление художественно-педагогическим коллективом»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Детский коллектив НХТ и формирование личности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Особенности разработки программы развития коллектива НХК. 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Педагогическая инноватика.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проработки учебных программ для коллективов ХТ составить свой вариант программы, обосновав выбор возрастной группы, содержания и технологии обучения.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Субъекты педагогического процесса в коллективе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книгу А.М. Столярова Методологические основы изобретательского творчества. – М.. 1989 и  законспектировать методы и приемы развития эвристики.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Участники НХТ как субъекты художественно-творческой деятельности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изучения психолого-педагогической литературы отработать систему социометрии. Дать характеристику всех групп, отражающих структуру художественного коллектива.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Роль руководителя коллектива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изучения опыта работы коллективов НХТ составить планы: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1.творческих мероприятий коллектива.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2.индивидуальный план деятельности руководителя НХТ.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3.На основе чтения дополнительной литературы дать письменную характеристику профессиональных качеств руководителя НХТ.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Педагогическое </w:t>
            </w:r>
          </w:p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систему методов педагогического управления общением, способствующие улучшению психологического климата в коллективе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общение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и обосновать воспитательные мероприятия, обеспечивающие межличностное общение в коллективе.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Методы диагностики творческих способностей участников коллективов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план психолого-педагогического наблюдения результативности деятельности участников ХТК на репетиции.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Обосновать его целесообразность.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Научно-методическое обеспечение коллективов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Изучение специфики составления учебного плана для коллектива НХК в учреждении дополнительного образования</w:t>
            </w:r>
          </w:p>
        </w:tc>
      </w:tr>
    </w:tbl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D0002" w:rsidRPr="00DD0002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D0002" w:rsidRPr="00DD0002" w:rsidTr="00F50DC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 ноутбук, доступ к Интернету, доска.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 тестов. </w:t>
            </w:r>
          </w:p>
        </w:tc>
      </w:tr>
      <w:tr w:rsidR="00DD0002" w:rsidRPr="00DD0002" w:rsidTr="00810100">
        <w:trPr>
          <w:trHeight w:val="26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0002" w:rsidRPr="00DD0002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DD0002" w:rsidRPr="00DD0002" w:rsidTr="00F50DC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5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810100" w:rsidRDefault="00810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100" w:rsidRDefault="00810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DD0002" w:rsidRPr="00DD00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Т.К. Солодухина   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1F7" w:rsidRDefault="002511F7">
      <w:pPr>
        <w:spacing w:after="0" w:line="240" w:lineRule="auto"/>
      </w:pPr>
      <w:r>
        <w:separator/>
      </w:r>
    </w:p>
  </w:endnote>
  <w:endnote w:type="continuationSeparator" w:id="0">
    <w:p w:rsidR="002511F7" w:rsidRDefault="0025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1F7" w:rsidRDefault="002511F7">
      <w:pPr>
        <w:spacing w:after="0" w:line="240" w:lineRule="auto"/>
      </w:pPr>
      <w:r>
        <w:separator/>
      </w:r>
    </w:p>
  </w:footnote>
  <w:footnote w:type="continuationSeparator" w:id="0">
    <w:p w:rsidR="002511F7" w:rsidRDefault="00251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22BA7"/>
    <w:multiLevelType w:val="hybridMultilevel"/>
    <w:tmpl w:val="DF5C6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B97463"/>
    <w:multiLevelType w:val="hybridMultilevel"/>
    <w:tmpl w:val="7D52197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C2C4A"/>
    <w:multiLevelType w:val="hybridMultilevel"/>
    <w:tmpl w:val="8FF0753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9AB12DF"/>
    <w:multiLevelType w:val="hybridMultilevel"/>
    <w:tmpl w:val="0E1C8EA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54705"/>
    <w:multiLevelType w:val="hybridMultilevel"/>
    <w:tmpl w:val="D98A33C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A02641"/>
    <w:multiLevelType w:val="hybridMultilevel"/>
    <w:tmpl w:val="ACE4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5282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77709"/>
    <w:rsid w:val="001837EE"/>
    <w:rsid w:val="00187830"/>
    <w:rsid w:val="001C14E4"/>
    <w:rsid w:val="001C3789"/>
    <w:rsid w:val="001D65D7"/>
    <w:rsid w:val="001D7EE3"/>
    <w:rsid w:val="001E217C"/>
    <w:rsid w:val="001E332B"/>
    <w:rsid w:val="001E5462"/>
    <w:rsid w:val="00224FE9"/>
    <w:rsid w:val="00233F55"/>
    <w:rsid w:val="00250B50"/>
    <w:rsid w:val="00250C48"/>
    <w:rsid w:val="002511F7"/>
    <w:rsid w:val="00266B11"/>
    <w:rsid w:val="00284B89"/>
    <w:rsid w:val="002907A0"/>
    <w:rsid w:val="002953E7"/>
    <w:rsid w:val="002A0DF3"/>
    <w:rsid w:val="002A3406"/>
    <w:rsid w:val="002A45C6"/>
    <w:rsid w:val="00315A45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1707E"/>
    <w:rsid w:val="00421631"/>
    <w:rsid w:val="004227E7"/>
    <w:rsid w:val="004238F5"/>
    <w:rsid w:val="00456614"/>
    <w:rsid w:val="0046399B"/>
    <w:rsid w:val="0048095D"/>
    <w:rsid w:val="00485839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7D3123"/>
    <w:rsid w:val="007D7576"/>
    <w:rsid w:val="00800315"/>
    <w:rsid w:val="00810100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E0BD7"/>
    <w:rsid w:val="008E3E3E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60204"/>
    <w:rsid w:val="00D748EB"/>
    <w:rsid w:val="00D82A2C"/>
    <w:rsid w:val="00D908A4"/>
    <w:rsid w:val="00DA412D"/>
    <w:rsid w:val="00DB30D7"/>
    <w:rsid w:val="00DB770F"/>
    <w:rsid w:val="00DC180E"/>
    <w:rsid w:val="00DD0002"/>
    <w:rsid w:val="00DF0D3A"/>
    <w:rsid w:val="00DF2F2C"/>
    <w:rsid w:val="00E26F91"/>
    <w:rsid w:val="00E3113F"/>
    <w:rsid w:val="00E32684"/>
    <w:rsid w:val="00E3548E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3E52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16C153C-8412-40C9-8A23-5C0117E2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28</Pages>
  <Words>10904</Words>
  <Characters>62158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11</cp:revision>
  <cp:lastPrinted>2021-12-27T07:53:00Z</cp:lastPrinted>
  <dcterms:created xsi:type="dcterms:W3CDTF">2022-02-01T06:35:00Z</dcterms:created>
  <dcterms:modified xsi:type="dcterms:W3CDTF">2022-11-10T08:45:00Z</dcterms:modified>
</cp:coreProperties>
</file>